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2149" w14:textId="17451EEC" w:rsidR="009A67D0" w:rsidRPr="006447BA" w:rsidRDefault="00ED5250" w:rsidP="009C0AEC">
      <w:pPr>
        <w:pStyle w:val="TWCMainHead"/>
        <w:outlineLvl w:val="0"/>
      </w:pPr>
      <w:r w:rsidRPr="00ED5250">
        <w:t>Security Clearance</w:t>
      </w:r>
    </w:p>
    <w:p w14:paraId="3B239BAA" w14:textId="77777777" w:rsidR="009C0AEC" w:rsidRDefault="009C0AEC" w:rsidP="009A67D0">
      <w:pPr>
        <w:pStyle w:val="TWCSubtitle"/>
        <w:sectPr w:rsidR="009C0AEC" w:rsidSect="00974154">
          <w:footerReference w:type="default" r:id="rId8"/>
          <w:headerReference w:type="first" r:id="rId9"/>
          <w:footerReference w:type="first" r:id="rId10"/>
          <w:pgSz w:w="12240" w:h="15840"/>
          <w:pgMar w:top="1977" w:right="1260" w:bottom="1440" w:left="1584" w:header="792" w:footer="720" w:gutter="0"/>
          <w:cols w:space="720"/>
          <w:titlePg/>
        </w:sectPr>
      </w:pPr>
    </w:p>
    <w:p w14:paraId="6F095DB2" w14:textId="350D8EF1" w:rsidR="00ED5250" w:rsidRDefault="00ED5250" w:rsidP="00ED5250">
      <w:pPr>
        <w:pStyle w:val="TWCHead2"/>
      </w:pPr>
      <w:r w:rsidRPr="00ED5250">
        <w:lastRenderedPageBreak/>
        <w:t>Understanding Potential Delays and Denials</w:t>
      </w:r>
    </w:p>
    <w:p w14:paraId="64317C74" w14:textId="77777777" w:rsidR="00F606B3" w:rsidRPr="00ED5250" w:rsidRDefault="00F606B3" w:rsidP="00ED5250">
      <w:pPr>
        <w:pStyle w:val="TWCHead2"/>
      </w:pPr>
    </w:p>
    <w:p w14:paraId="21C60767" w14:textId="77777777" w:rsidR="00ED5250" w:rsidRPr="00F606B3" w:rsidRDefault="00ED5250" w:rsidP="00F606B3">
      <w:pPr>
        <w:pStyle w:val="TWCBody"/>
        <w:rPr>
          <w:b/>
        </w:rPr>
      </w:pPr>
      <w:r w:rsidRPr="00F606B3">
        <w:rPr>
          <w:b/>
        </w:rPr>
        <w:t>Security Clearance Completion &amp; Potential Delays</w:t>
      </w:r>
    </w:p>
    <w:p w14:paraId="4516AD4B" w14:textId="77777777" w:rsidR="00ED5250" w:rsidRPr="00ED5250" w:rsidRDefault="00ED5250" w:rsidP="00ED5250">
      <w:pPr>
        <w:pStyle w:val="TWCBody"/>
      </w:pPr>
      <w:r w:rsidRPr="00ED5250">
        <w:t>The clearance process can be lengthy - there is no official time frame for completion. By</w:t>
      </w:r>
    </w:p>
    <w:p w14:paraId="1202FCE7" w14:textId="77777777" w:rsidR="00ED5250" w:rsidRPr="00ED5250" w:rsidRDefault="00ED5250" w:rsidP="00ED5250">
      <w:pPr>
        <w:pStyle w:val="TWCBody"/>
      </w:pPr>
      <w:r w:rsidRPr="00ED5250">
        <w:t>accepting an internship with an internship site that requires a security clearance, you are</w:t>
      </w:r>
    </w:p>
    <w:p w14:paraId="17ACD78D" w14:textId="77777777" w:rsidR="00ED5250" w:rsidRPr="00ED5250" w:rsidRDefault="00ED5250" w:rsidP="00ED5250">
      <w:pPr>
        <w:pStyle w:val="TWCBody"/>
      </w:pPr>
      <w:r w:rsidRPr="00ED5250">
        <w:t>assuming the risk that your security clearance may not be completed in time for you to begin</w:t>
      </w:r>
    </w:p>
    <w:p w14:paraId="5CD60773" w14:textId="77777777" w:rsidR="00ED5250" w:rsidRDefault="00ED5250" w:rsidP="00ED5250">
      <w:pPr>
        <w:pStyle w:val="TWCBody"/>
      </w:pPr>
      <w:r w:rsidRPr="00ED5250">
        <w:t>work on the first day of your internship.</w:t>
      </w:r>
    </w:p>
    <w:p w14:paraId="483509A4" w14:textId="77777777" w:rsidR="005B5342" w:rsidRPr="00ED5250" w:rsidRDefault="005B5342" w:rsidP="00ED5250">
      <w:pPr>
        <w:pStyle w:val="TWCBody"/>
      </w:pPr>
    </w:p>
    <w:p w14:paraId="19E8AEB5" w14:textId="77777777" w:rsidR="00ED5250" w:rsidRPr="00ED5250" w:rsidRDefault="00ED5250" w:rsidP="00ED5250">
      <w:pPr>
        <w:pStyle w:val="TWCBody"/>
      </w:pPr>
      <w:r w:rsidRPr="00ED5250">
        <w:t>Please note that in the event of a delayed start date, TWC is not obligated to extend the internship</w:t>
      </w:r>
    </w:p>
    <w:p w14:paraId="0E8306C3" w14:textId="77777777" w:rsidR="00ED5250" w:rsidRPr="00ED5250" w:rsidRDefault="00ED5250" w:rsidP="00ED5250">
      <w:pPr>
        <w:pStyle w:val="TWCBody"/>
      </w:pPr>
      <w:r w:rsidRPr="00ED5250">
        <w:t>program beyond the dates of your originally scheduled term or semester. In addition, TWC is not</w:t>
      </w:r>
    </w:p>
    <w:p w14:paraId="53A7125F" w14:textId="77777777" w:rsidR="00ED5250" w:rsidRPr="00ED5250" w:rsidRDefault="00ED5250" w:rsidP="00ED5250">
      <w:pPr>
        <w:pStyle w:val="TWCBody"/>
      </w:pPr>
      <w:r w:rsidRPr="00ED5250">
        <w:t>obligated to provide housing for an extended time period beyond the originally scheduled dates</w:t>
      </w:r>
    </w:p>
    <w:p w14:paraId="4B78B4CE" w14:textId="77777777" w:rsidR="00ED5250" w:rsidRDefault="00ED5250" w:rsidP="00ED5250">
      <w:pPr>
        <w:pStyle w:val="TWCBody"/>
      </w:pPr>
      <w:r w:rsidRPr="00ED5250">
        <w:t>for your term or semester.</w:t>
      </w:r>
    </w:p>
    <w:p w14:paraId="35BFB6C4" w14:textId="77777777" w:rsidR="005B5342" w:rsidRPr="00ED5250" w:rsidRDefault="005B5342" w:rsidP="00ED5250">
      <w:pPr>
        <w:pStyle w:val="TWCBody"/>
      </w:pPr>
    </w:p>
    <w:p w14:paraId="70BD2B0F" w14:textId="77777777" w:rsidR="00ED5250" w:rsidRPr="00F606B3" w:rsidRDefault="00ED5250" w:rsidP="00F606B3">
      <w:pPr>
        <w:pStyle w:val="TWCBody"/>
        <w:rPr>
          <w:b/>
        </w:rPr>
      </w:pPr>
      <w:r w:rsidRPr="00F606B3">
        <w:rPr>
          <w:b/>
        </w:rPr>
        <w:t>Failed Security Clearance &amp; Security Clearance Delays</w:t>
      </w:r>
    </w:p>
    <w:p w14:paraId="2429D1B1" w14:textId="77777777" w:rsidR="00ED5250" w:rsidRPr="00ED5250" w:rsidRDefault="00ED5250" w:rsidP="00ED5250">
      <w:pPr>
        <w:pStyle w:val="TWCBody"/>
      </w:pPr>
      <w:r w:rsidRPr="00ED5250">
        <w:t>In the event that your security clearance is denied, TWC cannot provide any representation, or</w:t>
      </w:r>
    </w:p>
    <w:p w14:paraId="735E34DC" w14:textId="77777777" w:rsidR="00ED5250" w:rsidRDefault="00ED5250" w:rsidP="00ED5250">
      <w:pPr>
        <w:pStyle w:val="TWCBody"/>
      </w:pPr>
      <w:r w:rsidRPr="00ED5250">
        <w:t>appeal on your behalf.</w:t>
      </w:r>
    </w:p>
    <w:p w14:paraId="16D33D0B" w14:textId="77777777" w:rsidR="005B5342" w:rsidRPr="00ED5250" w:rsidRDefault="005B5342" w:rsidP="00ED5250">
      <w:pPr>
        <w:pStyle w:val="TWCBody"/>
      </w:pPr>
    </w:p>
    <w:p w14:paraId="001ED9A8" w14:textId="77777777" w:rsidR="00ED5250" w:rsidRPr="00ED5250" w:rsidRDefault="00ED5250" w:rsidP="00ED5250">
      <w:pPr>
        <w:pStyle w:val="TWCBody"/>
      </w:pPr>
      <w:r w:rsidRPr="00ED5250">
        <w:t>If your clearance is not approved prior to the internship start date, or if you are denied security</w:t>
      </w:r>
    </w:p>
    <w:p w14:paraId="3A90ADB7" w14:textId="77777777" w:rsidR="00ED5250" w:rsidRDefault="00ED5250" w:rsidP="00ED5250">
      <w:pPr>
        <w:pStyle w:val="TWCBody"/>
      </w:pPr>
      <w:r w:rsidRPr="00ED5250">
        <w:t>clearance, you will have the following options:</w:t>
      </w:r>
    </w:p>
    <w:p w14:paraId="40D99F8B" w14:textId="77777777" w:rsidR="005B5342" w:rsidRPr="00ED5250" w:rsidRDefault="005B5342" w:rsidP="00ED5250">
      <w:pPr>
        <w:pStyle w:val="TWCBody"/>
      </w:pPr>
    </w:p>
    <w:p w14:paraId="5B651B59" w14:textId="3DBFDEB6" w:rsidR="00ED5250" w:rsidRPr="00ED5250" w:rsidRDefault="00ED5250" w:rsidP="005B5342">
      <w:pPr>
        <w:pStyle w:val="TWCNumericalList"/>
      </w:pPr>
      <w:r w:rsidRPr="00ED5250">
        <w:t>Resume your internship matching process – TWC will identify an alternate placement.</w:t>
      </w:r>
    </w:p>
    <w:p w14:paraId="50D713B3" w14:textId="77777777" w:rsidR="00ED5250" w:rsidRPr="00ED5250" w:rsidRDefault="00ED5250" w:rsidP="005B5342">
      <w:pPr>
        <w:pStyle w:val="TWCNumericalList"/>
        <w:numPr>
          <w:ilvl w:val="0"/>
          <w:numId w:val="0"/>
        </w:numPr>
        <w:ind w:left="720"/>
      </w:pPr>
      <w:r w:rsidRPr="00ED5250">
        <w:t>However, because this decision will likely not be made until very close to, or after, your</w:t>
      </w:r>
    </w:p>
    <w:p w14:paraId="661BA938" w14:textId="77777777" w:rsidR="00ED5250" w:rsidRPr="00ED5250" w:rsidRDefault="00ED5250" w:rsidP="005B5342">
      <w:pPr>
        <w:pStyle w:val="TWCNumericalList"/>
        <w:numPr>
          <w:ilvl w:val="0"/>
          <w:numId w:val="0"/>
        </w:numPr>
        <w:ind w:left="720"/>
      </w:pPr>
      <w:r w:rsidRPr="00ED5250">
        <w:t>intended start date, TWC cannot guarantee that there will be placements available at that</w:t>
      </w:r>
    </w:p>
    <w:p w14:paraId="4E37B876" w14:textId="77777777" w:rsidR="00ED5250" w:rsidRPr="00ED5250" w:rsidRDefault="00ED5250" w:rsidP="005B5342">
      <w:pPr>
        <w:pStyle w:val="TWCNumericalList"/>
        <w:numPr>
          <w:ilvl w:val="0"/>
          <w:numId w:val="0"/>
        </w:numPr>
        <w:ind w:left="720"/>
      </w:pPr>
      <w:r w:rsidRPr="00ED5250">
        <w:t>time that directly match your interests.</w:t>
      </w:r>
    </w:p>
    <w:p w14:paraId="4AAC6F04" w14:textId="04CFCD87" w:rsidR="00ED5250" w:rsidRPr="00ED5250" w:rsidRDefault="00ED5250" w:rsidP="005B5342">
      <w:pPr>
        <w:pStyle w:val="TWCNumericalList"/>
      </w:pPr>
      <w:r w:rsidRPr="00ED5250">
        <w:t>Wait for your clearance to be approved – In most cases, delays last no longer than a few</w:t>
      </w:r>
    </w:p>
    <w:p w14:paraId="542BD8B9" w14:textId="77777777" w:rsidR="00ED5250" w:rsidRPr="00ED5250" w:rsidRDefault="00ED5250" w:rsidP="005B5342">
      <w:pPr>
        <w:pStyle w:val="TWCNumericalList"/>
        <w:numPr>
          <w:ilvl w:val="0"/>
          <w:numId w:val="0"/>
        </w:numPr>
        <w:ind w:left="720"/>
      </w:pPr>
      <w:r w:rsidRPr="00ED5250">
        <w:t>days but can also last up to 2 weeks. TWC will coordinate alternate activities while you</w:t>
      </w:r>
    </w:p>
    <w:p w14:paraId="31261D1B" w14:textId="77777777" w:rsidR="00ED5250" w:rsidRPr="00ED5250" w:rsidRDefault="00ED5250" w:rsidP="005B5342">
      <w:pPr>
        <w:pStyle w:val="TWCNumericalList"/>
        <w:numPr>
          <w:ilvl w:val="0"/>
          <w:numId w:val="0"/>
        </w:numPr>
        <w:ind w:left="720"/>
      </w:pPr>
      <w:r w:rsidRPr="00ED5250">
        <w:t>await your clearance. You may only wait for your clearance to be approved if your</w:t>
      </w:r>
    </w:p>
    <w:p w14:paraId="1E375DDE" w14:textId="77777777" w:rsidR="00ED5250" w:rsidRDefault="00ED5250" w:rsidP="005B5342">
      <w:pPr>
        <w:pStyle w:val="TWCNumericalList"/>
        <w:numPr>
          <w:ilvl w:val="0"/>
          <w:numId w:val="0"/>
        </w:numPr>
        <w:ind w:left="720"/>
      </w:pPr>
      <w:r w:rsidRPr="00ED5250">
        <w:t>university approves it - please consider these questions:</w:t>
      </w:r>
    </w:p>
    <w:p w14:paraId="330C6C9D" w14:textId="77777777" w:rsidR="005B5342" w:rsidRPr="00ED5250" w:rsidRDefault="005B5342" w:rsidP="005B5342">
      <w:pPr>
        <w:pStyle w:val="TWCNumericalList"/>
        <w:numPr>
          <w:ilvl w:val="0"/>
          <w:numId w:val="0"/>
        </w:numPr>
        <w:ind w:left="720"/>
      </w:pPr>
    </w:p>
    <w:p w14:paraId="4D18C4F2" w14:textId="7EAFA231" w:rsidR="00ED5250" w:rsidRPr="00ED5250" w:rsidRDefault="00ED5250" w:rsidP="005B5342">
      <w:pPr>
        <w:pStyle w:val="TWCBullets"/>
      </w:pPr>
      <w:r w:rsidRPr="00ED5250">
        <w:t>Does your university require specific activities/assignments that they would prefer</w:t>
      </w:r>
    </w:p>
    <w:p w14:paraId="4A4853B3" w14:textId="77777777" w:rsidR="00ED5250" w:rsidRPr="00ED5250" w:rsidRDefault="00ED5250" w:rsidP="005B5342">
      <w:pPr>
        <w:pStyle w:val="TWCBullets"/>
        <w:numPr>
          <w:ilvl w:val="0"/>
          <w:numId w:val="0"/>
        </w:numPr>
        <w:ind w:left="374"/>
      </w:pPr>
      <w:r w:rsidRPr="00ED5250">
        <w:t>you participate in while waiting to begin your internship?</w:t>
      </w:r>
    </w:p>
    <w:p w14:paraId="53BFE76C" w14:textId="32EE25DE" w:rsidR="00ED5250" w:rsidRPr="00ED5250" w:rsidRDefault="00ED5250" w:rsidP="005B5342">
      <w:pPr>
        <w:pStyle w:val="TWCBullets"/>
      </w:pPr>
      <w:r w:rsidRPr="00ED5250">
        <w:t>Will the delayed start date affect your ability to earn full credit for the internship?</w:t>
      </w:r>
    </w:p>
    <w:p w14:paraId="041DFB92" w14:textId="77777777" w:rsidR="00ED5250" w:rsidRPr="00ED5250" w:rsidRDefault="00ED5250" w:rsidP="005B5342">
      <w:pPr>
        <w:pStyle w:val="TWCBullets"/>
        <w:numPr>
          <w:ilvl w:val="0"/>
          <w:numId w:val="0"/>
        </w:numPr>
        <w:ind w:left="374"/>
      </w:pPr>
      <w:r w:rsidRPr="00ED5250">
        <w:t>In some cases, students are able to make up the lost hours by extending the length</w:t>
      </w:r>
    </w:p>
    <w:p w14:paraId="0D48C1A5" w14:textId="77777777" w:rsidR="00ED5250" w:rsidRDefault="00ED5250" w:rsidP="005B5342">
      <w:pPr>
        <w:pStyle w:val="TWCBullets"/>
        <w:numPr>
          <w:ilvl w:val="0"/>
          <w:numId w:val="0"/>
        </w:numPr>
        <w:ind w:left="374"/>
      </w:pPr>
      <w:r w:rsidRPr="00ED5250">
        <w:t>of their standard workday by a small amount.</w:t>
      </w:r>
    </w:p>
    <w:p w14:paraId="752F770F" w14:textId="77777777" w:rsidR="005B5342" w:rsidRPr="00ED5250" w:rsidRDefault="005B5342" w:rsidP="005B5342">
      <w:pPr>
        <w:pStyle w:val="TWCBullets"/>
        <w:numPr>
          <w:ilvl w:val="0"/>
          <w:numId w:val="0"/>
        </w:numPr>
        <w:ind w:left="374"/>
      </w:pPr>
    </w:p>
    <w:p w14:paraId="3B3993DC" w14:textId="77777777" w:rsidR="00ED5250" w:rsidRPr="00ED5250" w:rsidRDefault="00ED5250" w:rsidP="005B5342">
      <w:pPr>
        <w:pStyle w:val="TWCBody"/>
      </w:pPr>
      <w:r w:rsidRPr="00ED5250">
        <w:t>Security clearance delays and denials do not happen often – when they do, TWC is prepared to</w:t>
      </w:r>
    </w:p>
    <w:p w14:paraId="2AEA2C40" w14:textId="77777777" w:rsidR="00ED5250" w:rsidRPr="00ED5250" w:rsidRDefault="00ED5250" w:rsidP="005B5342">
      <w:pPr>
        <w:pStyle w:val="TWCBody"/>
      </w:pPr>
      <w:r w:rsidRPr="00ED5250">
        <w:t>replace students in another internship. TWC acts in the best interest of the student’s academic</w:t>
      </w:r>
    </w:p>
    <w:p w14:paraId="74B0581B" w14:textId="77777777" w:rsidR="00ED5250" w:rsidRPr="00ED5250" w:rsidRDefault="00ED5250" w:rsidP="005B5342">
      <w:pPr>
        <w:pStyle w:val="TWCBody"/>
      </w:pPr>
      <w:r w:rsidRPr="00ED5250">
        <w:t>experience and will replace any student when delays extend beyond acceptable timelines and</w:t>
      </w:r>
    </w:p>
    <w:p w14:paraId="2854EF77" w14:textId="5980643A" w:rsidR="000900E8" w:rsidRDefault="00ED5250" w:rsidP="005B5342">
      <w:pPr>
        <w:pStyle w:val="TWCBody"/>
      </w:pPr>
      <w:r w:rsidRPr="00ED5250">
        <w:t>when a student’s security clearance is denied.</w:t>
      </w:r>
      <w:bookmarkStart w:id="0" w:name="_GoBack"/>
      <w:bookmarkEnd w:id="0"/>
    </w:p>
    <w:p w14:paraId="43C47BB7" w14:textId="0D3AF011" w:rsidR="007139BC" w:rsidRDefault="007139BC">
      <w:pPr>
        <w:spacing w:after="0" w:line="240" w:lineRule="auto"/>
        <w:rPr>
          <w:sz w:val="22"/>
        </w:rPr>
      </w:pPr>
    </w:p>
    <w:sectPr w:rsidR="007139BC" w:rsidSect="00F606B3">
      <w:headerReference w:type="first" r:id="rId11"/>
      <w:footerReference w:type="first" r:id="rId12"/>
      <w:type w:val="continuous"/>
      <w:pgSz w:w="12240" w:h="15840"/>
      <w:pgMar w:top="1977" w:right="1080" w:bottom="1170" w:left="1584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FE32" w14:textId="77777777" w:rsidR="00F606B3" w:rsidRDefault="00F606B3">
      <w:pPr>
        <w:spacing w:after="0" w:line="240" w:lineRule="auto"/>
      </w:pPr>
      <w:r>
        <w:separator/>
      </w:r>
    </w:p>
  </w:endnote>
  <w:endnote w:type="continuationSeparator" w:id="0">
    <w:p w14:paraId="49A1C16A" w14:textId="77777777" w:rsidR="00F606B3" w:rsidRDefault="00F6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FFA" w14:textId="395A987A" w:rsidR="00F606B3" w:rsidRPr="009C0AEC" w:rsidRDefault="00F606B3" w:rsidP="00C649EC">
    <w:pPr>
      <w:pStyle w:val="Footer"/>
      <w:tabs>
        <w:tab w:val="left" w:pos="3293"/>
      </w:tabs>
      <w:spacing w:before="240"/>
      <w:ind w:right="360"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begin"/>
    </w:r>
    <w:r w:rsidRPr="009C0AEC">
      <w:rPr>
        <w:rStyle w:val="PageNumber"/>
        <w:rFonts w:ascii="Arial" w:hAnsi="Arial" w:cs="Arial"/>
        <w:color w:val="BA0D20"/>
        <w:sz w:val="14"/>
        <w:szCs w:val="14"/>
      </w:rPr>
      <w:instrText xml:space="preserve"> PAGE </w:instrTex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color w:val="BA0D20"/>
        <w:sz w:val="14"/>
        <w:szCs w:val="14"/>
      </w:rPr>
      <w:t>2</w: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end"/>
    </w:r>
    <w:r w:rsidRPr="009C0AEC">
      <w:rPr>
        <w:rStyle w:val="PageNumber"/>
        <w:rFonts w:ascii="Arial" w:hAnsi="Arial" w:cs="Arial"/>
        <w:color w:val="7F7F7F" w:themeColor="text1" w:themeTint="80"/>
        <w:sz w:val="14"/>
        <w:szCs w:val="14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 xml:space="preserve">The Washington Center • </w:t>
    </w:r>
    <w:r>
      <w:rPr>
        <w:rFonts w:ascii="Arial" w:hAnsi="Arial" w:cs="Arial"/>
        <w:color w:val="7F7F7F" w:themeColor="text1" w:themeTint="80"/>
        <w:sz w:val="14"/>
        <w:szCs w:val="14"/>
      </w:rPr>
      <w:t>Thank You Emails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5954" w14:textId="77777777" w:rsidR="00F606B3" w:rsidRPr="00743596" w:rsidRDefault="00F606B3" w:rsidP="00854A2E">
    <w:pPr>
      <w:pStyle w:val="Footer"/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 w:rsidR="009151A7"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>The Washington Center for Internships and Academic Seminars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289A" w14:textId="77777777" w:rsidR="00F606B3" w:rsidRPr="00743596" w:rsidRDefault="00F606B3" w:rsidP="00854A2E">
    <w:pPr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743596">
      <w:rPr>
        <w:color w:val="7F7F7F" w:themeColor="text1" w:themeTint="80"/>
        <w:sz w:val="15"/>
      </w:rPr>
      <w:t xml:space="preserve">The Washington Center </w:t>
    </w:r>
    <w:r>
      <w:rPr>
        <w:color w:val="7F7F7F" w:themeColor="text1" w:themeTint="80"/>
        <w:sz w:val="15"/>
      </w:rPr>
      <w:t>for Internships and Academic Seminars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EAAE" w14:textId="77777777" w:rsidR="00F606B3" w:rsidRDefault="00F606B3">
      <w:pPr>
        <w:spacing w:after="0" w:line="240" w:lineRule="auto"/>
      </w:pPr>
      <w:r>
        <w:separator/>
      </w:r>
    </w:p>
  </w:footnote>
  <w:footnote w:type="continuationSeparator" w:id="0">
    <w:p w14:paraId="7E6BF7C7" w14:textId="77777777" w:rsidR="00F606B3" w:rsidRDefault="00F6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CDD3" w14:textId="77777777" w:rsidR="00F606B3" w:rsidRDefault="00F606B3">
    <w:pPr>
      <w:pStyle w:val="Header"/>
    </w:pPr>
    <w:r w:rsidRPr="00C649EC">
      <w:rPr>
        <w:noProof/>
      </w:rPr>
      <w:drawing>
        <wp:anchor distT="0" distB="0" distL="114300" distR="114300" simplePos="0" relativeHeight="251659264" behindDoc="1" locked="0" layoutInCell="1" allowOverlap="1" wp14:anchorId="2C42569C" wp14:editId="7A9A6C1F">
          <wp:simplePos x="0" y="0"/>
          <wp:positionH relativeFrom="column">
            <wp:posOffset>4572000</wp:posOffset>
          </wp:positionH>
          <wp:positionV relativeFrom="paragraph">
            <wp:posOffset>45720</wp:posOffset>
          </wp:positionV>
          <wp:extent cx="1724944" cy="308703"/>
          <wp:effectExtent l="0" t="0" r="2540" b="0"/>
          <wp:wrapNone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WC_Masthead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944" cy="308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7E29" w14:textId="77777777" w:rsidR="00F606B3" w:rsidRDefault="00F606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90C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4440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702C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A001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6A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7A54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70D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EED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1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78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D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224"/>
    <w:multiLevelType w:val="multilevel"/>
    <w:tmpl w:val="66D6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92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1C26A7"/>
    <w:multiLevelType w:val="hybridMultilevel"/>
    <w:tmpl w:val="36C6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4B1013"/>
    <w:multiLevelType w:val="multilevel"/>
    <w:tmpl w:val="C4B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877D9"/>
    <w:multiLevelType w:val="multilevel"/>
    <w:tmpl w:val="4BEE4AF0"/>
    <w:lvl w:ilvl="0">
      <w:start w:val="1"/>
      <w:numFmt w:val="bullet"/>
      <w:lvlText w:val="•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1FAE"/>
    <w:multiLevelType w:val="hybridMultilevel"/>
    <w:tmpl w:val="10DC4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560E8"/>
    <w:multiLevelType w:val="hybridMultilevel"/>
    <w:tmpl w:val="0F86D6D0"/>
    <w:lvl w:ilvl="0" w:tplc="7BF011D8">
      <w:start w:val="1"/>
      <w:numFmt w:val="lowerLetter"/>
      <w:pStyle w:val="TWCAlpha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03A3"/>
    <w:multiLevelType w:val="hybridMultilevel"/>
    <w:tmpl w:val="584C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4138"/>
    <w:multiLevelType w:val="hybridMultilevel"/>
    <w:tmpl w:val="6BC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3420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269A7"/>
    <w:multiLevelType w:val="hybridMultilevel"/>
    <w:tmpl w:val="66D681C4"/>
    <w:lvl w:ilvl="0" w:tplc="C7B6458E">
      <w:start w:val="1"/>
      <w:numFmt w:val="decimal"/>
      <w:pStyle w:val="TWCNumerical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3EA"/>
    <w:multiLevelType w:val="multilevel"/>
    <w:tmpl w:val="55FA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469A0"/>
    <w:multiLevelType w:val="hybridMultilevel"/>
    <w:tmpl w:val="C4D6CFCA"/>
    <w:lvl w:ilvl="0" w:tplc="035E80AE">
      <w:start w:val="1"/>
      <w:numFmt w:val="bullet"/>
      <w:pStyle w:val="TWCBullets"/>
      <w:lvlText w:val="•"/>
      <w:lvlJc w:val="left"/>
      <w:pPr>
        <w:ind w:left="5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D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BD7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96493"/>
    <w:multiLevelType w:val="hybridMultilevel"/>
    <w:tmpl w:val="66A8B43E"/>
    <w:lvl w:ilvl="0" w:tplc="E69235C2">
      <w:start w:val="1"/>
      <w:numFmt w:val="bullet"/>
      <w:pStyle w:val="TWCBullets2"/>
      <w:lvlText w:val=""/>
      <w:lvlJc w:val="left"/>
      <w:pPr>
        <w:ind w:left="1260" w:hanging="360"/>
      </w:pPr>
      <w:rPr>
        <w:rFonts w:ascii="Symbol" w:hAnsi="Symbol" w:hint="default"/>
        <w:color w:val="BA0D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91B15"/>
    <w:multiLevelType w:val="hybridMultilevel"/>
    <w:tmpl w:val="523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13"/>
  </w:num>
  <w:num w:numId="9">
    <w:abstractNumId w:val="26"/>
  </w:num>
  <w:num w:numId="10">
    <w:abstractNumId w:val="14"/>
  </w:num>
  <w:num w:numId="11">
    <w:abstractNumId w:val="22"/>
  </w:num>
  <w:num w:numId="12">
    <w:abstractNumId w:val="11"/>
  </w:num>
  <w:num w:numId="13">
    <w:abstractNumId w:val="20"/>
  </w:num>
  <w:num w:numId="14">
    <w:abstractNumId w:val="12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0"/>
    <w:rsid w:val="00004C68"/>
    <w:rsid w:val="00067448"/>
    <w:rsid w:val="000822DE"/>
    <w:rsid w:val="0008743A"/>
    <w:rsid w:val="000900E8"/>
    <w:rsid w:val="000B6281"/>
    <w:rsid w:val="000C2544"/>
    <w:rsid w:val="00104B52"/>
    <w:rsid w:val="001213CE"/>
    <w:rsid w:val="00130A03"/>
    <w:rsid w:val="00142BDB"/>
    <w:rsid w:val="00180020"/>
    <w:rsid w:val="00182B0F"/>
    <w:rsid w:val="00185F10"/>
    <w:rsid w:val="00190AA3"/>
    <w:rsid w:val="001C0AD6"/>
    <w:rsid w:val="001C2604"/>
    <w:rsid w:val="001D5AA4"/>
    <w:rsid w:val="002034E9"/>
    <w:rsid w:val="00244BA4"/>
    <w:rsid w:val="00245546"/>
    <w:rsid w:val="002842B3"/>
    <w:rsid w:val="00305003"/>
    <w:rsid w:val="00326592"/>
    <w:rsid w:val="00363D6A"/>
    <w:rsid w:val="003934AF"/>
    <w:rsid w:val="00405877"/>
    <w:rsid w:val="00451A0F"/>
    <w:rsid w:val="00495C7F"/>
    <w:rsid w:val="004C26C8"/>
    <w:rsid w:val="00517D55"/>
    <w:rsid w:val="005256E9"/>
    <w:rsid w:val="00526F58"/>
    <w:rsid w:val="005B5342"/>
    <w:rsid w:val="005E1E7B"/>
    <w:rsid w:val="005E60F3"/>
    <w:rsid w:val="006447BA"/>
    <w:rsid w:val="00647914"/>
    <w:rsid w:val="0065487C"/>
    <w:rsid w:val="007139BC"/>
    <w:rsid w:val="00726FBD"/>
    <w:rsid w:val="00743596"/>
    <w:rsid w:val="00771FE0"/>
    <w:rsid w:val="007740B1"/>
    <w:rsid w:val="007C0BDE"/>
    <w:rsid w:val="007D43A4"/>
    <w:rsid w:val="007E1490"/>
    <w:rsid w:val="007E7A40"/>
    <w:rsid w:val="00814964"/>
    <w:rsid w:val="00854A2E"/>
    <w:rsid w:val="00912BDD"/>
    <w:rsid w:val="009151A7"/>
    <w:rsid w:val="00926652"/>
    <w:rsid w:val="00943825"/>
    <w:rsid w:val="00974154"/>
    <w:rsid w:val="00992188"/>
    <w:rsid w:val="009A67D0"/>
    <w:rsid w:val="009C0AEC"/>
    <w:rsid w:val="00A85DBA"/>
    <w:rsid w:val="00AE7E07"/>
    <w:rsid w:val="00B26164"/>
    <w:rsid w:val="00BD7D17"/>
    <w:rsid w:val="00BE0099"/>
    <w:rsid w:val="00C00026"/>
    <w:rsid w:val="00C06065"/>
    <w:rsid w:val="00C343D6"/>
    <w:rsid w:val="00C52157"/>
    <w:rsid w:val="00C649EC"/>
    <w:rsid w:val="00C7469F"/>
    <w:rsid w:val="00CD351A"/>
    <w:rsid w:val="00D131B2"/>
    <w:rsid w:val="00D13A7D"/>
    <w:rsid w:val="00D7189B"/>
    <w:rsid w:val="00DB62FD"/>
    <w:rsid w:val="00DC3F0C"/>
    <w:rsid w:val="00DF3903"/>
    <w:rsid w:val="00E27A89"/>
    <w:rsid w:val="00E434B0"/>
    <w:rsid w:val="00E87501"/>
    <w:rsid w:val="00ED5250"/>
    <w:rsid w:val="00F606B3"/>
    <w:rsid w:val="00F73C92"/>
    <w:rsid w:val="00FB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C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unications:New%20Visual%20Identity%20:04_Templates:Word:Documents/Papers: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Documents.dotx</Template>
  <TotalTime>0</TotalTime>
  <Pages>1</Pages>
  <Words>356</Words>
  <Characters>2030</Characters>
  <Application>Microsoft Macintosh Word</Application>
  <DocSecurity>0</DocSecurity>
  <Lines>16</Lines>
  <Paragraphs>4</Paragraphs>
  <ScaleCrop>false</ScaleCrop>
  <Company>The Washington Center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Gil</dc:creator>
  <cp:keywords/>
  <cp:lastModifiedBy>Jason</cp:lastModifiedBy>
  <cp:revision>2</cp:revision>
  <cp:lastPrinted>2013-01-11T20:15:00Z</cp:lastPrinted>
  <dcterms:created xsi:type="dcterms:W3CDTF">2019-05-06T19:25:00Z</dcterms:created>
  <dcterms:modified xsi:type="dcterms:W3CDTF">2019-05-06T19:25:00Z</dcterms:modified>
</cp:coreProperties>
</file>